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B65" w:rsidRDefault="00941382">
      <w:pPr>
        <w:tabs>
          <w:tab w:val="left" w:pos="10080"/>
        </w:tabs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230</wp:posOffset>
                </wp:positionV>
                <wp:extent cx="586740" cy="714375"/>
                <wp:effectExtent l="0" t="0" r="3810" b="9525"/>
                <wp:wrapTight wrapText="bothSides">
                  <wp:wrapPolygon edited="1">
                    <wp:start x="0" y="0"/>
                    <wp:lineTo x="0" y="21312"/>
                    <wp:lineTo x="21039" y="21312"/>
                    <wp:lineTo x="21039" y="0"/>
                    <wp:lineTo x="0" y="0"/>
                  </wp:wrapPolygon>
                </wp:wrapTight>
                <wp:docPr id="1" name="Рисунок 1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8674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margin;mso-position-horizontal:center;mso-position-vertical-relative:text;margin-top:0.02pt;mso-position-vertical:absolute;width:46.20pt;height:56.25pt;mso-wrap-distance-left:9.00pt;mso-wrap-distance-top:0.00pt;mso-wrap-distance-right:9.00pt;mso-wrap-distance-bottom:0.00pt;" wrapcoords="0 0 0 98667 97403 98667 97403 0 0 0" stroked="f">
                <v:path textboxrect="0,0,0,0"/>
                <w10:wrap type="tight"/>
                <v:imagedata r:id="rId12" o:title=""/>
              </v:shape>
            </w:pict>
          </mc:Fallback>
        </mc:AlternateContent>
      </w:r>
    </w:p>
    <w:p w:rsidR="00357B65" w:rsidRDefault="00357B65">
      <w:pPr>
        <w:tabs>
          <w:tab w:val="left" w:pos="10080"/>
        </w:tabs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57B65" w:rsidRDefault="00357B65">
      <w:pPr>
        <w:tabs>
          <w:tab w:val="left" w:pos="10080"/>
        </w:tabs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57B65" w:rsidRDefault="00357B65">
      <w:pPr>
        <w:tabs>
          <w:tab w:val="left" w:pos="10080"/>
        </w:tabs>
        <w:spacing w:line="276" w:lineRule="auto"/>
        <w:jc w:val="center"/>
        <w:rPr>
          <w:rFonts w:ascii="Times New Roman" w:eastAsia="Times New Roman" w:hAnsi="Times New Roman"/>
          <w:b/>
          <w:sz w:val="10"/>
          <w:szCs w:val="10"/>
          <w:lang w:eastAsia="ar-SA"/>
        </w:rPr>
      </w:pPr>
    </w:p>
    <w:p w:rsidR="00357B65" w:rsidRDefault="00941382">
      <w:pPr>
        <w:pStyle w:val="2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НЕФТЕЮГАНСКА</w:t>
      </w:r>
    </w:p>
    <w:p w:rsidR="00357B65" w:rsidRDefault="00357B65">
      <w:pPr>
        <w:pStyle w:val="25"/>
        <w:jc w:val="center"/>
        <w:rPr>
          <w:b/>
          <w:sz w:val="10"/>
          <w:szCs w:val="10"/>
        </w:rPr>
      </w:pPr>
    </w:p>
    <w:p w:rsidR="00357B65" w:rsidRDefault="00941382">
      <w:pPr>
        <w:pStyle w:val="2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357B65" w:rsidRDefault="00357B65">
      <w:pPr>
        <w:pStyle w:val="25"/>
        <w:jc w:val="center"/>
        <w:rPr>
          <w:b/>
          <w:szCs w:val="28"/>
        </w:rPr>
      </w:pPr>
    </w:p>
    <w:p w:rsidR="00357B65" w:rsidRDefault="00941382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______________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316EC5">
        <w:rPr>
          <w:rFonts w:ascii="Times New Roman" w:hAnsi="Times New Roman"/>
          <w:sz w:val="28"/>
          <w:szCs w:val="28"/>
        </w:rPr>
        <w:t xml:space="preserve">   </w:t>
      </w:r>
      <w:r w:rsidR="00165B8C">
        <w:rPr>
          <w:rFonts w:ascii="Times New Roman" w:hAnsi="Times New Roman"/>
          <w:sz w:val="28"/>
          <w:szCs w:val="28"/>
        </w:rPr>
        <w:t xml:space="preserve">        № </w:t>
      </w:r>
      <w:r>
        <w:rPr>
          <w:rFonts w:ascii="Times New Roman" w:hAnsi="Times New Roman"/>
          <w:sz w:val="28"/>
          <w:szCs w:val="28"/>
        </w:rPr>
        <w:t>_____</w:t>
      </w:r>
    </w:p>
    <w:p w:rsidR="00357B65" w:rsidRDefault="00941382">
      <w:pPr>
        <w:pStyle w:val="25"/>
        <w:jc w:val="center"/>
        <w:rPr>
          <w:color w:val="008000"/>
          <w:sz w:val="24"/>
          <w:szCs w:val="24"/>
        </w:rPr>
      </w:pPr>
      <w:r>
        <w:rPr>
          <w:color w:val="000000"/>
          <w:sz w:val="24"/>
          <w:szCs w:val="24"/>
        </w:rPr>
        <w:t>г.Нефтеюганск</w:t>
      </w:r>
    </w:p>
    <w:p w:rsidR="00357B65" w:rsidRDefault="00357B65">
      <w:pPr>
        <w:tabs>
          <w:tab w:val="left" w:pos="10080"/>
        </w:tabs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57B65" w:rsidRDefault="00941382">
      <w:pPr>
        <w:tabs>
          <w:tab w:val="left" w:pos="10080"/>
        </w:tabs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0" w:name="_GoBack"/>
      <w:r>
        <w:rPr>
          <w:rFonts w:ascii="Times New Roman" w:eastAsia="Times New Roman" w:hAnsi="Times New Roman"/>
          <w:b/>
          <w:bCs/>
          <w:sz w:val="28"/>
          <w:szCs w:val="28"/>
        </w:rPr>
        <w:t>О внесении изменений в постановление администрации города Нефтеюганска от 21.09.2022 № 139-нп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</w:t>
      </w:r>
    </w:p>
    <w:p w:rsidR="00357B65" w:rsidRDefault="00941382">
      <w:pPr>
        <w:tabs>
          <w:tab w:val="left" w:pos="10080"/>
        </w:tabs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собственности, без проведения торгов</w:t>
      </w:r>
      <w:bookmarkEnd w:id="0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»   </w:t>
      </w:r>
    </w:p>
    <w:p w:rsidR="00357B65" w:rsidRDefault="00357B65">
      <w:pPr>
        <w:tabs>
          <w:tab w:val="left" w:pos="10080"/>
        </w:tabs>
        <w:spacing w:line="276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57B65" w:rsidRDefault="00941382">
      <w:pPr>
        <w:tabs>
          <w:tab w:val="left" w:pos="709"/>
        </w:tabs>
        <w:ind w:firstLine="567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Земельным кодексом Российской Федерации</w:t>
      </w:r>
      <w:r>
        <w:rPr>
          <w:rFonts w:ascii="Times New Roman" w:eastAsia="Times New Roman" w:hAnsi="Times New Roman"/>
          <w:sz w:val="28"/>
          <w:szCs w:val="28"/>
        </w:rPr>
        <w:t>, Федеральным законом от 27.07.2010 № 210-ФЗ «Об организации предоставления государственных и муниципальных услуг»,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26.03.2016 № 236 «О требованиях к предоставлению </w:t>
      </w:r>
      <w:r w:rsidR="00165B8C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в электронной форме государственных и муниципальных услуг»,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Уставом города Нефтеюганска, постановлением администрации города Нефтеюганска </w:t>
      </w:r>
      <w:r w:rsidR="00165B8C">
        <w:rPr>
          <w:rFonts w:ascii="Times New Roman" w:eastAsia="Times New Roman" w:hAnsi="Times New Roman"/>
          <w:sz w:val="28"/>
          <w:szCs w:val="28"/>
        </w:rPr>
        <w:t xml:space="preserve">                </w:t>
      </w:r>
      <w:r>
        <w:rPr>
          <w:rFonts w:ascii="Times New Roman" w:eastAsia="Times New Roman" w:hAnsi="Times New Roman"/>
          <w:sz w:val="28"/>
          <w:szCs w:val="28"/>
        </w:rPr>
        <w:t xml:space="preserve">от 05.09.2013 № 88-нп «О разработке и утверждении административных регламентов предоставления муниципальных услуг», в целях приведения муниципального правового акта в соответствие с законодательством Российской Федерации администрация города Нефтеюганска постановляет:     </w:t>
      </w:r>
    </w:p>
    <w:p w:rsidR="00357B65" w:rsidRDefault="00941382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1.Внести изменения в постановление </w:t>
      </w:r>
      <w:r>
        <w:rPr>
          <w:rFonts w:ascii="Times New Roman" w:hAnsi="Times New Roman"/>
          <w:bCs/>
          <w:sz w:val="28"/>
          <w:szCs w:val="28"/>
        </w:rPr>
        <w:t>администрации города Нефтеюганска от 21.09.2022 № 139-нп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 (с изменениями, внесёнными постановлениями администрации города от 08.11.2022 № 176-нп, от 06.03.2023 № 19-нп, от 24.10.2024 № 99-нп), а именно: в приложении к постановлению</w:t>
      </w:r>
      <w:r>
        <w:rPr>
          <w:rFonts w:ascii="Times New Roman" w:eastAsia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proofErr w:type="gramStart"/>
      <w:r>
        <w:rPr>
          <w:rFonts w:ascii="Times New Roman" w:hAnsi="Times New Roman"/>
          <w:sz w:val="28"/>
          <w:szCs w:val="28"/>
        </w:rPr>
        <w:t>1.Подпункт</w:t>
      </w:r>
      <w:proofErr w:type="gramEnd"/>
      <w:r>
        <w:rPr>
          <w:rFonts w:ascii="Times New Roman" w:hAnsi="Times New Roman"/>
          <w:sz w:val="28"/>
          <w:szCs w:val="28"/>
        </w:rPr>
        <w:t xml:space="preserve"> 2.7.2 пункта 2.7 раздела 2 </w:t>
      </w:r>
      <w:r>
        <w:rPr>
          <w:rFonts w:ascii="Times New Roman" w:eastAsiaTheme="minorHAnsi" w:hAnsi="Times New Roman"/>
          <w:sz w:val="28"/>
          <w:szCs w:val="28"/>
        </w:rPr>
        <w:t xml:space="preserve">признать утратившим силу. </w:t>
      </w:r>
    </w:p>
    <w:p w:rsidR="00357B65" w:rsidRDefault="00941382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1.2.В пункте 2.12 раздела 2:</w:t>
      </w:r>
    </w:p>
    <w:p w:rsidR="00357B65" w:rsidRDefault="00941382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proofErr w:type="gramStart"/>
      <w:r>
        <w:rPr>
          <w:rFonts w:ascii="Times New Roman" w:hAnsi="Times New Roman"/>
          <w:sz w:val="28"/>
          <w:szCs w:val="28"/>
        </w:rPr>
        <w:t>1.Подпункт</w:t>
      </w:r>
      <w:proofErr w:type="gramEnd"/>
      <w:r>
        <w:rPr>
          <w:rFonts w:ascii="Times New Roman" w:hAnsi="Times New Roman"/>
          <w:sz w:val="28"/>
          <w:szCs w:val="28"/>
        </w:rPr>
        <w:t xml:space="preserve"> 13) </w:t>
      </w:r>
      <w:r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 </w:t>
      </w:r>
    </w:p>
    <w:p w:rsidR="00357B65" w:rsidRDefault="00941382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13)в</w:t>
      </w:r>
      <w:proofErr w:type="gramEnd"/>
      <w:r>
        <w:rPr>
          <w:rFonts w:ascii="Times New Roman" w:hAnsi="Times New Roman"/>
          <w:sz w:val="28"/>
          <w:szCs w:val="28"/>
        </w:rPr>
        <w:t xml:space="preserve"> отношении земельного участка, указанного в заявлении, размещено </w:t>
      </w:r>
      <w:r w:rsidR="00165B8C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в соответствии с подпунктом 1 пункта 1 статьи 39.18 Земельного кодекса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</w:t>
      </w:r>
      <w:r w:rsidR="00165B8C">
        <w:rPr>
          <w:rFonts w:ascii="Times New Roman" w:hAnsi="Times New Roman"/>
          <w:sz w:val="28"/>
          <w:szCs w:val="28"/>
        </w:rPr>
        <w:t>адоводства для собственных нужд;</w:t>
      </w:r>
      <w:r>
        <w:rPr>
          <w:rFonts w:ascii="Times New Roman" w:hAnsi="Times New Roman"/>
          <w:sz w:val="28"/>
          <w:szCs w:val="28"/>
        </w:rPr>
        <w:t>».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1.2.2.В подпункте 17</w:t>
      </w:r>
      <w:proofErr w:type="gramStart"/>
      <w:r>
        <w:rPr>
          <w:rFonts w:ascii="Times New Roman" w:hAnsi="Times New Roman"/>
          <w:sz w:val="28"/>
          <w:szCs w:val="28"/>
        </w:rPr>
        <w:t>)  слово</w:t>
      </w:r>
      <w:proofErr w:type="gramEnd"/>
      <w:r>
        <w:rPr>
          <w:rFonts w:ascii="Times New Roman" w:hAnsi="Times New Roman"/>
          <w:sz w:val="28"/>
          <w:szCs w:val="28"/>
        </w:rPr>
        <w:t xml:space="preserve"> «предельный» исключить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3.Пункт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3.2 раздела 3 изложить в следующей редакции:</w:t>
      </w:r>
    </w:p>
    <w:p w:rsidR="00357B65" w:rsidRDefault="00941382">
      <w:pPr>
        <w:ind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«3.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2.Перечень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административных процедур (действий) при предоставлении муниципальной услуги в электронной форме.</w:t>
      </w:r>
    </w:p>
    <w:p w:rsidR="00357B65" w:rsidRDefault="00941382">
      <w:pPr>
        <w:ind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При предоставлении </w:t>
      </w:r>
      <w:r w:rsidR="00165B8C">
        <w:rPr>
          <w:rFonts w:ascii="Times New Roman" w:eastAsiaTheme="minorHAnsi" w:hAnsi="Times New Roman"/>
          <w:sz w:val="28"/>
          <w:szCs w:val="28"/>
        </w:rPr>
        <w:t>муниципальной услуги</w:t>
      </w:r>
      <w:r>
        <w:rPr>
          <w:rFonts w:ascii="Times New Roman" w:eastAsiaTheme="minorHAnsi" w:hAnsi="Times New Roman"/>
          <w:sz w:val="28"/>
          <w:szCs w:val="28"/>
        </w:rPr>
        <w:t xml:space="preserve"> в электронной форме посредством ЕПГУ</w:t>
      </w:r>
      <w:r w:rsidR="00165B8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Заявителю обеспечивается: </w:t>
      </w:r>
    </w:p>
    <w:p w:rsidR="00357B65" w:rsidRDefault="00941382">
      <w:pPr>
        <w:ind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а) получение информации о порядке и сроках предоставления услуги;</w:t>
      </w:r>
    </w:p>
    <w:p w:rsidR="00357B65" w:rsidRDefault="00941382">
      <w:pPr>
        <w:ind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б) запись на прием в Уполномоченный орган (Департамент), МФЦ предоставления муниципальных услуг для подачи запроса о предоставлении </w:t>
      </w:r>
      <w:r w:rsidR="00165B8C">
        <w:rPr>
          <w:rFonts w:ascii="Times New Roman" w:eastAsiaTheme="minorHAnsi" w:hAnsi="Times New Roman"/>
          <w:sz w:val="28"/>
          <w:szCs w:val="28"/>
        </w:rPr>
        <w:t>муниципальной услуги</w:t>
      </w:r>
      <w:r>
        <w:rPr>
          <w:rFonts w:ascii="Times New Roman" w:eastAsiaTheme="minorHAnsi" w:hAnsi="Times New Roman"/>
          <w:sz w:val="28"/>
          <w:szCs w:val="28"/>
        </w:rPr>
        <w:t xml:space="preserve">, а также в случаях, предусмотренных Административным регламентом предоставления </w:t>
      </w:r>
      <w:r w:rsidR="00165B8C">
        <w:rPr>
          <w:rFonts w:ascii="Times New Roman" w:eastAsiaTheme="minorHAnsi" w:hAnsi="Times New Roman"/>
          <w:sz w:val="28"/>
          <w:szCs w:val="28"/>
        </w:rPr>
        <w:t>муниципальной услуги</w:t>
      </w:r>
      <w:r>
        <w:rPr>
          <w:rFonts w:ascii="Times New Roman" w:eastAsiaTheme="minorHAnsi" w:hAnsi="Times New Roman"/>
          <w:sz w:val="28"/>
          <w:szCs w:val="28"/>
        </w:rPr>
        <w:t>, возможность подачи такого запроса с одновременной записью на указанный прием;</w:t>
      </w:r>
    </w:p>
    <w:p w:rsidR="00357B65" w:rsidRDefault="00941382">
      <w:pPr>
        <w:ind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в) формирование запроса;</w:t>
      </w:r>
    </w:p>
    <w:p w:rsidR="00357B65" w:rsidRDefault="00941382">
      <w:pPr>
        <w:ind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г) прием и регистрация Уполномоченным органом (Департаментом) запроса и иных документов, необходимых для предоставления </w:t>
      </w:r>
      <w:r w:rsidR="00165B8C">
        <w:rPr>
          <w:rFonts w:ascii="Times New Roman" w:eastAsiaTheme="minorHAnsi" w:hAnsi="Times New Roman"/>
          <w:sz w:val="28"/>
          <w:szCs w:val="28"/>
        </w:rPr>
        <w:t>муниципальной услуги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357B65" w:rsidRDefault="00941382">
      <w:pPr>
        <w:ind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д) получение результата предоставления </w:t>
      </w:r>
      <w:r w:rsidR="00165B8C">
        <w:rPr>
          <w:rFonts w:ascii="Times New Roman" w:eastAsiaTheme="minorHAnsi" w:hAnsi="Times New Roman"/>
          <w:sz w:val="28"/>
          <w:szCs w:val="28"/>
        </w:rPr>
        <w:t>муниципальной услуги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357B65" w:rsidRDefault="00941382">
      <w:pPr>
        <w:ind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е) получение сведений о ходе выполнения запроса;</w:t>
      </w:r>
    </w:p>
    <w:p w:rsidR="00357B65" w:rsidRDefault="00941382">
      <w:pPr>
        <w:ind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ж) осуществление оценки качества предоставления услуги;</w:t>
      </w:r>
    </w:p>
    <w:p w:rsidR="00357B65" w:rsidRDefault="00941382">
      <w:pPr>
        <w:ind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з) досудебное (внесудебное) обжалование решений и действий (бездействия) Уполномоченного органа (Департамента), должностного лица Уполномоченного органа (Департамента) либо муниципального служащего;</w:t>
      </w:r>
    </w:p>
    <w:p w:rsidR="00357B65" w:rsidRDefault="00941382">
      <w:pPr>
        <w:ind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и) анкетирование Заявителя (предъявление Заявителю перечня вопросов и исчерпывающего перечня вариантов ответов на указанные вопросы) в целях определения варианта муниципальной услуги, предусмотренного Административным регламентом предоставления муниципальной услуги, соответствующего признакам Заявителя; </w:t>
      </w:r>
    </w:p>
    <w:p w:rsidR="00357B65" w:rsidRDefault="00941382">
      <w:pPr>
        <w:ind w:firstLine="54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к) предъявление Заявителю варианта предоставления муниципальной услуги, предусмотренного Административным регламентом предоставления муниципальной услуги.».</w:t>
      </w:r>
    </w:p>
    <w:p w:rsidR="00357B65" w:rsidRDefault="00316EC5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1.4.</w:t>
      </w:r>
      <w:r w:rsidR="00941382">
        <w:rPr>
          <w:rFonts w:ascii="Times New Roman" w:eastAsiaTheme="minorHAnsi" w:hAnsi="Times New Roman"/>
          <w:sz w:val="28"/>
          <w:szCs w:val="28"/>
        </w:rPr>
        <w:t>В пункте 3.3 раздела 3: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1.4.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1.Подпункт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3.3.1 изложить в следующей редакции:</w:t>
      </w:r>
    </w:p>
    <w:p w:rsidR="00941382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«3.3.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1.Формирование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заявления. 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 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Форматно-логическая проверка сформированного запроса осуществляется ЕПГУ автоматически на основании требований, определяемых Уполномоченным органом (Департаментом), в процессе заполнения Заявителем каждого из полей электронной формы запроса. При выявлении ЕПГУ некорректно заполненного поля электронной формы запроса Заявитель уведомляется о характере выявленной ошибки и порядке ее устранения </w:t>
      </w:r>
      <w:r>
        <w:rPr>
          <w:rFonts w:ascii="Times New Roman" w:eastAsiaTheme="minorHAnsi" w:hAnsi="Times New Roman"/>
          <w:sz w:val="28"/>
          <w:szCs w:val="28"/>
        </w:rPr>
        <w:lastRenderedPageBreak/>
        <w:t>посредством информационного сообщения непосредственно в электронной форме запроса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При формировании запроса обеспечивается: 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а) возможность копирования и сохранения запроса и иных документов, необходимых для предоставления </w:t>
      </w:r>
      <w:r w:rsidR="00165B8C">
        <w:rPr>
          <w:rFonts w:ascii="Times New Roman" w:eastAsiaTheme="minorHAnsi" w:hAnsi="Times New Roman"/>
          <w:sz w:val="28"/>
          <w:szCs w:val="28"/>
        </w:rPr>
        <w:t>муниципальной услуги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б) возможность печати на бумажном носителе копии электронной формы запроса;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г) 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ЕПГУ или официальном сайте, в части, касающейся сведений, отсутствующих в ЕСИА;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д) возможность вернуться на любой из этапов заполнения электронной формы запроса без потери ранее введенной информации;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е) возможность доступа Заявителя на ЕПГУ или официальном сайте к ранее поданным им запросам в течение не менее одного года, а также частично сформированных запросов - в течение не менее 3 месяцев.».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1.4.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2.Подпункт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3.3.4  изложить в следующей редакции: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«3.3.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4.Заявителю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в качестве результата предоставления </w:t>
      </w:r>
      <w:r w:rsidR="00165B8C">
        <w:rPr>
          <w:rFonts w:ascii="Times New Roman" w:eastAsiaTheme="minorHAnsi" w:hAnsi="Times New Roman"/>
          <w:sz w:val="28"/>
          <w:szCs w:val="28"/>
        </w:rPr>
        <w:t>муниципальной услуги</w:t>
      </w:r>
      <w:r>
        <w:rPr>
          <w:rFonts w:ascii="Times New Roman" w:eastAsiaTheme="minorHAnsi" w:hAnsi="Times New Roman"/>
          <w:sz w:val="28"/>
          <w:szCs w:val="28"/>
        </w:rPr>
        <w:t xml:space="preserve"> обеспечивается по его выбору возможность: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а) получения электронного документа, подписанного с использованием УКЭП;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б) получения информации из государственных (муниципальных) информационных систем, кроме случаев, когда в соответствии с нормативными правовыми актами такая информация требует обязательного ее подписания со стороны Уполномоченного органа (Департамента) УКЭП;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в) внесения изменений в сведения, содержащиеся в государственных (муниципальных) информационных системах на основании информации, содержащейся в запросе и (или) прилагаемых к запросу документах, в случаях, предусмотренных нормативными правовыми актами, регулирующими порядок предоставления услуги;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г) получения с использованием ЕПГУ электронного документа в машиночитаемом формате, подписанного УКЭП со стороны Уполномоченного органа (Департамента).». 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1.4.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3.Подпункт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3.3.5  изложить в следующей редакции: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«3.3.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5.Получение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информации о ходе рассмотрения заявления и                                       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                                        о дальнейших действиях в личном кабинете по собственной инициативе, в любое время. 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При предоставлении муниципальной услуги в электронной форме Заявителю направляется: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а) уведомление о записи на прием в Уполномоченный орган (Департамент) или МФЦ, содержащее сведения о дате, времени и месте приема;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б) уведомление о приеме и регистрации запроса и иных документов, необходимых для предоставления </w:t>
      </w:r>
      <w:r w:rsidR="00165B8C">
        <w:rPr>
          <w:rFonts w:ascii="Times New Roman" w:eastAsiaTheme="minorHAnsi" w:hAnsi="Times New Roman"/>
          <w:sz w:val="28"/>
          <w:szCs w:val="28"/>
        </w:rPr>
        <w:t>муниципальной услуги</w:t>
      </w:r>
      <w:r>
        <w:rPr>
          <w:rFonts w:ascii="Times New Roman" w:eastAsiaTheme="minorHAnsi" w:hAnsi="Times New Roman"/>
          <w:sz w:val="28"/>
          <w:szCs w:val="28"/>
        </w:rPr>
        <w:t xml:space="preserve">, содержащее сведения о факте приема запроса и документов, необходимых для предоставления </w:t>
      </w:r>
      <w:r w:rsidR="00165B8C">
        <w:rPr>
          <w:rFonts w:ascii="Times New Roman" w:eastAsiaTheme="minorHAnsi" w:hAnsi="Times New Roman"/>
          <w:sz w:val="28"/>
          <w:szCs w:val="28"/>
        </w:rPr>
        <w:t>муниципальной услуги</w:t>
      </w:r>
      <w:r>
        <w:rPr>
          <w:rFonts w:ascii="Times New Roman" w:eastAsiaTheme="minorHAnsi" w:hAnsi="Times New Roman"/>
          <w:sz w:val="28"/>
          <w:szCs w:val="28"/>
        </w:rPr>
        <w:t xml:space="preserve">, и начале процедуры предоставления </w:t>
      </w:r>
      <w:r w:rsidR="00165B8C">
        <w:rPr>
          <w:rFonts w:ascii="Times New Roman" w:eastAsiaTheme="minorHAnsi" w:hAnsi="Times New Roman"/>
          <w:sz w:val="28"/>
          <w:szCs w:val="28"/>
        </w:rPr>
        <w:t>муниципальной услуги</w:t>
      </w:r>
      <w:r>
        <w:rPr>
          <w:rFonts w:ascii="Times New Roman" w:eastAsiaTheme="minorHAnsi" w:hAnsi="Times New Roman"/>
          <w:sz w:val="28"/>
          <w:szCs w:val="28"/>
        </w:rPr>
        <w:t>, а также сведения о дате и времени окончания предоставления муниципальной услуги либо мотивированный отказ в приеме запроса и иных документов, необходимых для предоставления муниципальной услуги;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в) уведомление о факте получения информации, подтверждающей оплату муниципальной услуги;</w:t>
      </w:r>
    </w:p>
    <w:p w:rsidR="00357B65" w:rsidRDefault="00941382">
      <w:pPr>
        <w:ind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г)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услуги.».</w:t>
      </w:r>
    </w:p>
    <w:p w:rsidR="00357B65" w:rsidRDefault="00941382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proofErr w:type="gramStart"/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eastAsiaTheme="minorHAnsi" w:hAnsi="Times New Roman"/>
          <w:sz w:val="28"/>
          <w:szCs w:val="28"/>
        </w:rPr>
        <w:t>Разделы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4, 5 признать утратившими силу.</w:t>
      </w:r>
    </w:p>
    <w:p w:rsidR="00357B65" w:rsidRDefault="00941382">
      <w:pPr>
        <w:tabs>
          <w:tab w:val="left" w:pos="72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2.Обнародовать (опубликовать) постановление в газете «Здравствуйте, нефтеюганцы!». </w:t>
      </w:r>
    </w:p>
    <w:p w:rsidR="00357B65" w:rsidRDefault="00941382">
      <w:pPr>
        <w:tabs>
          <w:tab w:val="left" w:pos="720"/>
        </w:tabs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3.Информационно-аналитическому отделу администрации города Нефтеюганска (Михайлова Ю.В.) разместить постановление на официальном сайте органов местного самоуправления города Нефтеюганска.</w:t>
      </w:r>
    </w:p>
    <w:p w:rsidR="00357B65" w:rsidRDefault="00941382">
      <w:pPr>
        <w:tabs>
          <w:tab w:val="left" w:pos="720"/>
        </w:tabs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4.Постановление вступает в силу после его официального опубликования.</w:t>
      </w:r>
    </w:p>
    <w:p w:rsidR="00357B65" w:rsidRDefault="00357B65">
      <w:pPr>
        <w:tabs>
          <w:tab w:val="left" w:pos="720"/>
        </w:tabs>
        <w:ind w:firstLine="709"/>
        <w:rPr>
          <w:rFonts w:ascii="Times New Roman" w:hAnsi="Times New Roman"/>
          <w:bCs/>
          <w:sz w:val="28"/>
          <w:szCs w:val="28"/>
        </w:rPr>
      </w:pPr>
    </w:p>
    <w:p w:rsidR="00357B65" w:rsidRDefault="00357B65">
      <w:pPr>
        <w:tabs>
          <w:tab w:val="left" w:pos="720"/>
        </w:tabs>
        <w:ind w:firstLine="709"/>
        <w:rPr>
          <w:rFonts w:ascii="Times New Roman" w:hAnsi="Times New Roman"/>
          <w:bCs/>
          <w:sz w:val="28"/>
          <w:szCs w:val="28"/>
        </w:rPr>
      </w:pPr>
    </w:p>
    <w:p w:rsidR="00357B65" w:rsidRPr="00E61F95" w:rsidRDefault="00941382" w:rsidP="00E61F95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Глава города Нефтеюганска                                                                      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Ю.В.Чекунов</w:t>
      </w:r>
      <w:proofErr w:type="spellEnd"/>
    </w:p>
    <w:sectPr w:rsidR="00357B65" w:rsidRPr="00E61F95">
      <w:headerReference w:type="even" r:id="rId13"/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F66" w:rsidRDefault="00851F66">
      <w:r>
        <w:separator/>
      </w:r>
    </w:p>
  </w:endnote>
  <w:endnote w:type="continuationSeparator" w:id="0">
    <w:p w:rsidR="00851F66" w:rsidRDefault="0085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pact">
    <w:altName w:val="MT Extra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F66" w:rsidRDefault="00851F66">
      <w:r>
        <w:separator/>
      </w:r>
    </w:p>
  </w:footnote>
  <w:footnote w:type="continuationSeparator" w:id="0">
    <w:p w:rsidR="00851F66" w:rsidRDefault="00851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B65" w:rsidRDefault="00941382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57B65" w:rsidRDefault="00357B65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5884146"/>
      <w:docPartObj>
        <w:docPartGallery w:val="Page Numbers (Top of Page)"/>
        <w:docPartUnique/>
      </w:docPartObj>
    </w:sdtPr>
    <w:sdtEndPr/>
    <w:sdtContent>
      <w:p w:rsidR="00357B65" w:rsidRDefault="00941382">
        <w:pPr>
          <w:pStyle w:val="af1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 w:rsidR="00E61F95">
          <w:rPr>
            <w:rFonts w:ascii="Times New Roman" w:hAnsi="Times New Roman"/>
            <w:noProof/>
          </w:rPr>
          <w:t>3</w:t>
        </w:r>
        <w:r>
          <w:rPr>
            <w:rFonts w:ascii="Times New Roman" w:hAnsi="Times New Roman"/>
          </w:rPr>
          <w:fldChar w:fldCharType="end"/>
        </w:r>
      </w:p>
    </w:sdtContent>
  </w:sdt>
  <w:p w:rsidR="00357B65" w:rsidRDefault="00357B65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65"/>
    <w:rsid w:val="00165B8C"/>
    <w:rsid w:val="00316EC5"/>
    <w:rsid w:val="00357B65"/>
    <w:rsid w:val="00851F66"/>
    <w:rsid w:val="00941382"/>
    <w:rsid w:val="00E61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5B29"/>
  <w15:docId w15:val="{3AE62F54-2FC7-4BFE-A58B-A13EDA0B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pPr>
      <w:keepNext/>
      <w:spacing w:before="60"/>
      <w:jc w:val="center"/>
      <w:outlineLvl w:val="0"/>
    </w:pPr>
    <w:rPr>
      <w:rFonts w:ascii="Compact" w:eastAsia="Times New Roman" w:hAnsi="Compact"/>
      <w:spacing w:val="26"/>
      <w:sz w:val="4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Compact" w:eastAsia="Times New Roman" w:hAnsi="Compact" w:cs="Times New Roman"/>
      <w:spacing w:val="26"/>
      <w:sz w:val="44"/>
      <w:szCs w:val="20"/>
    </w:rPr>
  </w:style>
  <w:style w:type="paragraph" w:styleId="25">
    <w:name w:val="Body Text 2"/>
    <w:basedOn w:val="a"/>
    <w:link w:val="26"/>
    <w:unhideWhenUsed/>
    <w:rPr>
      <w:rFonts w:ascii="Times New Roman" w:eastAsia="Times New Roman" w:hAnsi="Times New Roman"/>
      <w:sz w:val="28"/>
      <w:szCs w:val="20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head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Pr>
      <w:rFonts w:ascii="Calibri" w:eastAsia="Calibri" w:hAnsi="Calibri" w:cs="Times New Roman"/>
    </w:rPr>
  </w:style>
  <w:style w:type="character" w:styleId="af3">
    <w:name w:val="page number"/>
    <w:basedOn w:val="a0"/>
  </w:style>
  <w:style w:type="character" w:styleId="af4">
    <w:name w:val="Hyperlink"/>
    <w:rPr>
      <w:color w:val="0000FF"/>
      <w:u w:val="single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160" w:line="259" w:lineRule="auto"/>
      <w:jc w:val="left"/>
    </w:pPr>
    <w:rPr>
      <w:rFonts w:ascii="Times New Roman" w:hAnsi="Times New Roman"/>
      <w:b/>
      <w:sz w:val="28"/>
      <w:szCs w:val="26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eastAsia="Calibri" w:hAnsi="Times New Roman" w:cs="Times New Roman"/>
      <w:b/>
      <w:sz w:val="28"/>
      <w:szCs w:val="26"/>
    </w:rPr>
  </w:style>
  <w:style w:type="character" w:styleId="af7">
    <w:name w:val="Placeholder Text"/>
    <w:uiPriority w:val="99"/>
    <w:semiHidden/>
    <w:rPr>
      <w:color w:val="808080"/>
    </w:rPr>
  </w:style>
  <w:style w:type="character" w:customStyle="1" w:styleId="af8">
    <w:name w:val="Текст выноски Знак"/>
    <w:basedOn w:val="a0"/>
    <w:link w:val="af9"/>
    <w:uiPriority w:val="99"/>
    <w:semiHidden/>
    <w:rPr>
      <w:rFonts w:ascii="Tahoma" w:eastAsia="Calibri" w:hAnsi="Tahoma" w:cs="Times New Roman"/>
      <w:b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pPr>
      <w:jc w:val="left"/>
    </w:pPr>
    <w:rPr>
      <w:rFonts w:ascii="Tahoma" w:hAnsi="Tahoma"/>
      <w:b/>
      <w:sz w:val="16"/>
      <w:szCs w:val="16"/>
    </w:rPr>
  </w:style>
  <w:style w:type="paragraph" w:styleId="afa">
    <w:name w:val="List Paragraph"/>
    <w:basedOn w:val="a"/>
    <w:uiPriority w:val="34"/>
    <w:qFormat/>
    <w:pPr>
      <w:spacing w:after="160" w:line="259" w:lineRule="auto"/>
      <w:ind w:left="720"/>
      <w:contextualSpacing/>
      <w:jc w:val="left"/>
    </w:pPr>
    <w:rPr>
      <w:rFonts w:ascii="Times New Roman" w:hAnsi="Times New Roman"/>
      <w:b/>
      <w:sz w:val="28"/>
      <w:szCs w:val="26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Strong"/>
    <w:uiPriority w:val="22"/>
    <w:qFormat/>
    <w:rPr>
      <w:b/>
      <w:bCs/>
    </w:rPr>
  </w:style>
  <w:style w:type="character" w:customStyle="1" w:styleId="spanoffilialname">
    <w:name w:val="span_of_filial_name"/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c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b/>
      <w:sz w:val="28"/>
      <w:szCs w:val="26"/>
    </w:rPr>
  </w:style>
  <w:style w:type="paragraph" w:styleId="afd">
    <w:name w:val="Normal (Web)"/>
    <w:basedOn w:val="a"/>
    <w:pPr>
      <w:spacing w:before="30" w:after="30"/>
      <w:jc w:val="left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210">
    <w:name w:val="Основной текст 21"/>
    <w:basedOn w:val="a"/>
    <w:pPr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f"/>
    <w:uiPriority w:val="99"/>
    <w:semiHidden/>
    <w:rPr>
      <w:rFonts w:ascii="Times New Roman" w:eastAsia="Calibri" w:hAnsi="Times New Roman" w:cs="Times New Roman"/>
      <w:b/>
      <w:sz w:val="20"/>
      <w:szCs w:val="20"/>
    </w:rPr>
  </w:style>
  <w:style w:type="paragraph" w:styleId="aff">
    <w:name w:val="footnote text"/>
    <w:basedOn w:val="a"/>
    <w:link w:val="afe"/>
    <w:uiPriority w:val="99"/>
    <w:semiHidden/>
    <w:unhideWhenUsed/>
    <w:pPr>
      <w:spacing w:after="160" w:line="259" w:lineRule="auto"/>
      <w:jc w:val="left"/>
    </w:pPr>
    <w:rPr>
      <w:rFonts w:ascii="Times New Roman" w:hAnsi="Times New Roman"/>
      <w:b/>
      <w:sz w:val="20"/>
      <w:szCs w:val="20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f0">
    <w:name w:val="Текст примечания Знак"/>
    <w:basedOn w:val="a0"/>
    <w:link w:val="aff1"/>
    <w:uiPriority w:val="99"/>
    <w:semiHidden/>
    <w:rPr>
      <w:b/>
    </w:rPr>
  </w:style>
  <w:style w:type="paragraph" w:styleId="aff1">
    <w:name w:val="annotation text"/>
    <w:basedOn w:val="a"/>
    <w:link w:val="aff0"/>
    <w:uiPriority w:val="99"/>
    <w:semiHidden/>
    <w:unhideWhenUsed/>
    <w:pPr>
      <w:spacing w:after="160" w:line="259" w:lineRule="auto"/>
      <w:jc w:val="left"/>
    </w:pPr>
    <w:rPr>
      <w:rFonts w:asciiTheme="minorHAnsi" w:eastAsiaTheme="minorHAnsi" w:hAnsiTheme="minorHAnsi" w:cstheme="minorBidi"/>
      <w:b/>
    </w:rPr>
  </w:style>
  <w:style w:type="character" w:customStyle="1" w:styleId="13">
    <w:name w:val="Текст примечания Знак1"/>
    <w:basedOn w:val="a0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rPr>
      <w:b/>
      <w:bCs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rPr>
      <w:bCs/>
    </w:rPr>
  </w:style>
  <w:style w:type="character" w:customStyle="1" w:styleId="14">
    <w:name w:val="Тема примечания Знак1"/>
    <w:basedOn w:val="13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table" w:styleId="aff4">
    <w:name w:val="Table Grid"/>
    <w:basedOn w:val="a1"/>
    <w:uiPriority w:val="3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10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86820-BFDA-4BBA-ABCC-4FDC610D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Трифанова Виктория Валерьевна</dc:creator>
  <cp:keywords/>
  <dc:description/>
  <cp:lastModifiedBy>Светлана Леонидовна Мозжерина</cp:lastModifiedBy>
  <cp:revision>29</cp:revision>
  <cp:lastPrinted>2025-10-27T11:10:00Z</cp:lastPrinted>
  <dcterms:created xsi:type="dcterms:W3CDTF">2024-10-10T07:02:00Z</dcterms:created>
  <dcterms:modified xsi:type="dcterms:W3CDTF">2025-10-27T12:09:00Z</dcterms:modified>
</cp:coreProperties>
</file>